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Guo 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407, TOWER 2, HARBOUR CENTRE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HOK CHEUNG 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AIOS Tech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2"/>
        <w:gridCol w:w="900"/>
        <w:gridCol w:w="771"/>
        <w:gridCol w:w="597"/>
        <w:gridCol w:w="342"/>
        <w:gridCol w:w="1136"/>
        <w:gridCol w:w="439"/>
        <w:gridCol w:w="612"/>
        <w:gridCol w:w="1302"/>
        <w:gridCol w:w="977"/>
        <w:gridCol w:w="94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  <w:r>
              <w:rPr/>
              <w:t xml:space="preserve"> 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Swift Prime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Class B common shares, par value US$0.0001 per share (the "Class B Common Shares") were acquired directly from the Issuer in a private placement pursuant to a share subscription agreement, dated June 26, 2026 (the "Share Subscription Agreement"), between a company wholly owned by the Reporting Person and the Issuer, at a purchase price of US$0.0001 per share, for an aggregate subscription price of US$500 for 5,000,000 Class B Common Shares. The subscription was approved by the Issuer's board of directors (the "Board") and audit committee of the Board. The transaction closed on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Class B Common Shares acquired are subject to a five (5) year lock-up from the date of issuance of July 14, 2026 under the Share Subscription Agreement, during which the Class B Common Shares may not be transferred, sold, or otherwise disposed of without prior approval of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Prior to the reported transaction, the Reporting Person beneficially owned no securities of the Issuer, as reflected in the Reporting Person's initial statement of beneficial ownership on Form 3 filed March 19,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Guo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1334" TargetMode="External"/><Relationship Id="rId5" Type="http://schemas.openxmlformats.org/officeDocument/2006/relationships/hyperlink" Target="http://www.sec.gov/cgi-bin/browse-edgar?action=getcompany&amp;CIK=00016039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753</Words>
  <Characters>4005</Characters>
  <CharactersWithSpaces>4698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